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February 26, 2024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5:00 P.M.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Invocation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Motion to approve the agenda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Motion to approve the increase of Water/Sewage Rates</w:t>
      </w: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0C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ind w:firstLine="720"/>
        <w:rPr/>
      </w:pPr>
      <w:r w:rsidDel="00000000" w:rsidR="00000000" w:rsidRPr="00000000">
        <w:rPr>
          <w:rtl w:val="0"/>
        </w:rPr>
        <w:t xml:space="preserve">5. GMA Defined Benefit Retirement Plan update</w:t>
        <w:tab/>
        <w:t xml:space="preserve">               </w:t>
      </w:r>
    </w:p>
    <w:p w:rsidR="00000000" w:rsidDel="00000000" w:rsidP="00000000" w:rsidRDefault="00000000" w:rsidRPr="00000000" w14:paraId="0000000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Committee Reports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highlight w:val="white"/>
          <w:rtl w:val="0"/>
        </w:rPr>
        <w:t xml:space="preserve">Executive Session- Personnel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sz w:val="14"/>
          <w:szCs w:val="14"/>
          <w:rtl w:val="0"/>
        </w:rPr>
        <w:t xml:space="preserve">    </w:t>
      </w: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